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noProof/>
        </w:rPr>
        <w:drawing>
          <wp:inline distT="0" distB="0" distL="0" distR="0" wp14:anchorId="633373E7" wp14:editId="325B2D3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A160B2" w14:paraId="3E9231EB" w14:textId="77777777" w:rsidTr="007855AE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4A91C7BE" w14:textId="74E82766" w:rsidR="00823AC2" w:rsidRPr="00823AC2" w:rsidRDefault="00823AC2" w:rsidP="00823AC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Council</w:t>
            </w:r>
          </w:p>
          <w:p w14:paraId="55A88F66" w14:textId="1FC8063E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7855AE">
        <w:tc>
          <w:tcPr>
            <w:tcW w:w="3388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5EBCE8" w14:textId="55489DA8" w:rsidR="00A160B2" w:rsidRDefault="002A2BFC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2A2BFC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May</w:t>
            </w:r>
            <w:r w:rsidR="00823AC2">
              <w:rPr>
                <w:rFonts w:cs="Arial"/>
              </w:rPr>
              <w:t xml:space="preserve"> 2023</w:t>
            </w:r>
          </w:p>
        </w:tc>
      </w:tr>
      <w:tr w:rsidR="00A160B2" w14:paraId="79B879D4" w14:textId="77777777" w:rsidTr="007855AE">
        <w:tc>
          <w:tcPr>
            <w:tcW w:w="3388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5914456E" w14:textId="39ADFC2D" w:rsidR="00A160B2" w:rsidRDefault="00783495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Constitution Update</w:t>
            </w:r>
          </w:p>
        </w:tc>
      </w:tr>
      <w:tr w:rsidR="00A160B2" w14:paraId="3A5E0F07" w14:textId="77777777" w:rsidTr="007855AE">
        <w:tc>
          <w:tcPr>
            <w:tcW w:w="3388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3C5F91B" w14:textId="280B75C2" w:rsidR="00A160B2" w:rsidRDefault="005033A4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Jessica Farmer, Interim</w:t>
            </w:r>
            <w:r w:rsidR="002A2BFC">
              <w:rPr>
                <w:rFonts w:cs="Arial"/>
              </w:rPr>
              <w:t xml:space="preserve"> </w:t>
            </w:r>
            <w:r w:rsidR="001F04C8">
              <w:rPr>
                <w:rFonts w:cs="Arial"/>
              </w:rPr>
              <w:t>Director of Legal &amp; Governance</w:t>
            </w:r>
            <w:r w:rsidR="00A36413">
              <w:rPr>
                <w:rFonts w:cs="Arial"/>
              </w:rPr>
              <w:t xml:space="preserve"> Services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7855AE">
        <w:tc>
          <w:tcPr>
            <w:tcW w:w="3388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4E3163FF" w14:textId="26947783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A36413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855AE">
        <w:tc>
          <w:tcPr>
            <w:tcW w:w="3388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B906090" w14:textId="6A08A1A1" w:rsidR="00A160B2" w:rsidRDefault="00A36413" w:rsidP="006C3150">
            <w:pPr>
              <w:pStyle w:val="Infotex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Wards</w:t>
            </w:r>
          </w:p>
          <w:p w14:paraId="6CD568AC" w14:textId="3C1A9A8D" w:rsidR="00A160B2" w:rsidRDefault="00A160B2" w:rsidP="006C3150">
            <w:pPr>
              <w:pStyle w:val="Infotext"/>
            </w:pPr>
          </w:p>
        </w:tc>
      </w:tr>
      <w:tr w:rsidR="00A160B2" w14:paraId="7C35C184" w14:textId="77777777" w:rsidTr="007855AE">
        <w:tc>
          <w:tcPr>
            <w:tcW w:w="3388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5427CD55" w14:textId="77777777" w:rsidR="00A160B2" w:rsidRDefault="00C02642" w:rsidP="006C3150">
            <w:pPr>
              <w:pStyle w:val="Infotext"/>
            </w:pPr>
            <w:r>
              <w:t>Appendix A Part 3A of the constitution</w:t>
            </w:r>
          </w:p>
          <w:p w14:paraId="4C232B02" w14:textId="2E055332" w:rsidR="00C02642" w:rsidRDefault="00C02642" w:rsidP="006C3150">
            <w:pPr>
              <w:pStyle w:val="Infotext"/>
            </w:pPr>
            <w:r>
              <w:t>Appendix B Part 3 B of the constitution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4124675E" w14:textId="17DA43C4" w:rsidR="00A160B2" w:rsidRPr="0097626F" w:rsidRDefault="00A160B2" w:rsidP="00A160B2">
            <w:pPr>
              <w:rPr>
                <w:color w:val="000000" w:themeColor="text1"/>
              </w:rPr>
            </w:pPr>
            <w:r w:rsidRPr="0097626F">
              <w:rPr>
                <w:color w:val="000000" w:themeColor="text1"/>
              </w:rPr>
              <w:t>This report sets out</w:t>
            </w:r>
            <w:r w:rsidR="003C2948" w:rsidRPr="0097626F">
              <w:rPr>
                <w:color w:val="000000" w:themeColor="text1"/>
              </w:rPr>
              <w:t xml:space="preserve"> </w:t>
            </w:r>
            <w:r w:rsidR="002A2BFC">
              <w:rPr>
                <w:color w:val="000000" w:themeColor="text1"/>
              </w:rPr>
              <w:t xml:space="preserve">amendments to the constitution to reflect </w:t>
            </w:r>
            <w:r w:rsidR="009E39C2">
              <w:rPr>
                <w:color w:val="000000" w:themeColor="text1"/>
              </w:rPr>
              <w:t xml:space="preserve">legislative requirements. </w:t>
            </w:r>
          </w:p>
          <w:p w14:paraId="2C9E4A81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A0063F7" w14:textId="16934783" w:rsidR="00FD03FF" w:rsidRDefault="00FD03FF" w:rsidP="00A160B2"/>
          <w:p w14:paraId="2B2B3BCA" w14:textId="7674471C" w:rsidR="000A02E0" w:rsidRPr="005033A4" w:rsidRDefault="000A02E0" w:rsidP="00A160B2">
            <w:pPr>
              <w:rPr>
                <w:szCs w:val="24"/>
              </w:rPr>
            </w:pPr>
            <w:r w:rsidRPr="005033A4">
              <w:rPr>
                <w:szCs w:val="24"/>
              </w:rPr>
              <w:t>That:</w:t>
            </w:r>
          </w:p>
          <w:p w14:paraId="65D9064A" w14:textId="77777777" w:rsidR="000A02E0" w:rsidRPr="005033A4" w:rsidRDefault="000A02E0" w:rsidP="00A160B2">
            <w:pPr>
              <w:rPr>
                <w:szCs w:val="24"/>
              </w:rPr>
            </w:pPr>
          </w:p>
          <w:p w14:paraId="69EFDE53" w14:textId="3241F888" w:rsidR="00047516" w:rsidRPr="005033A4" w:rsidRDefault="00FD03FF" w:rsidP="000A02E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033A4">
              <w:rPr>
                <w:sz w:val="24"/>
                <w:szCs w:val="24"/>
              </w:rPr>
              <w:t xml:space="preserve">Council </w:t>
            </w:r>
            <w:r w:rsidR="00EA1033" w:rsidRPr="005033A4">
              <w:rPr>
                <w:sz w:val="24"/>
                <w:szCs w:val="24"/>
              </w:rPr>
              <w:t>amend</w:t>
            </w:r>
            <w:r w:rsidR="003B1CE7" w:rsidRPr="005033A4">
              <w:rPr>
                <w:sz w:val="24"/>
                <w:szCs w:val="24"/>
              </w:rPr>
              <w:t>s</w:t>
            </w:r>
            <w:r w:rsidR="00EA1033" w:rsidRPr="005033A4">
              <w:rPr>
                <w:sz w:val="24"/>
                <w:szCs w:val="24"/>
              </w:rPr>
              <w:t xml:space="preserve"> the </w:t>
            </w:r>
            <w:r w:rsidR="009E39C2" w:rsidRPr="005033A4">
              <w:rPr>
                <w:sz w:val="24"/>
                <w:szCs w:val="24"/>
              </w:rPr>
              <w:t>allocations of responsibilities parts of the const</w:t>
            </w:r>
            <w:r w:rsidR="00047516" w:rsidRPr="005033A4">
              <w:rPr>
                <w:sz w:val="24"/>
                <w:szCs w:val="24"/>
              </w:rPr>
              <w:t xml:space="preserve">itution as attached at </w:t>
            </w:r>
            <w:r w:rsidR="00F8650F" w:rsidRPr="005033A4">
              <w:rPr>
                <w:sz w:val="24"/>
                <w:szCs w:val="24"/>
              </w:rPr>
              <w:t>A</w:t>
            </w:r>
            <w:r w:rsidR="00047516" w:rsidRPr="005033A4">
              <w:rPr>
                <w:sz w:val="24"/>
                <w:szCs w:val="24"/>
              </w:rPr>
              <w:t>ppendix A and B.</w:t>
            </w:r>
          </w:p>
          <w:p w14:paraId="6512246A" w14:textId="77777777" w:rsidR="00C92299" w:rsidRPr="005033A4" w:rsidRDefault="00C92299" w:rsidP="00C92299">
            <w:pPr>
              <w:pStyle w:val="ListParagraph"/>
              <w:ind w:left="850"/>
              <w:rPr>
                <w:sz w:val="24"/>
                <w:szCs w:val="24"/>
              </w:rPr>
            </w:pPr>
          </w:p>
          <w:p w14:paraId="2055F12E" w14:textId="4DC61D76" w:rsidR="00047516" w:rsidRPr="005033A4" w:rsidRDefault="00047516" w:rsidP="000A02E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033A4">
              <w:rPr>
                <w:sz w:val="24"/>
                <w:szCs w:val="24"/>
              </w:rPr>
              <w:t xml:space="preserve">That </w:t>
            </w:r>
            <w:r w:rsidR="00E01B5F" w:rsidRPr="005033A4">
              <w:rPr>
                <w:sz w:val="24"/>
                <w:szCs w:val="24"/>
              </w:rPr>
              <w:t>authority is given to the Monitoring Officer to make these changes to the constitution.</w:t>
            </w:r>
          </w:p>
          <w:p w14:paraId="714CBDEE" w14:textId="5B083FFD" w:rsidR="000A02E0" w:rsidRDefault="000A02E0" w:rsidP="00C92299">
            <w:pPr>
              <w:pStyle w:val="ListParagraph"/>
              <w:ind w:left="850"/>
            </w:pPr>
          </w:p>
        </w:tc>
      </w:tr>
    </w:tbl>
    <w:p w14:paraId="56B5BC91" w14:textId="77777777" w:rsidR="00914FE8" w:rsidRDefault="00914FE8" w:rsidP="00A160B2">
      <w:pPr>
        <w:pStyle w:val="Heading2"/>
      </w:pPr>
    </w:p>
    <w:p w14:paraId="53DC7DE2" w14:textId="63C34EDF" w:rsidR="002A2389" w:rsidRDefault="002A2389" w:rsidP="00A160B2">
      <w:pPr>
        <w:pStyle w:val="Heading2"/>
      </w:pPr>
      <w:r>
        <w:lastRenderedPageBreak/>
        <w:t>Section 2 – Report</w:t>
      </w:r>
    </w:p>
    <w:p w14:paraId="199F8BC1" w14:textId="77777777" w:rsidR="0086664C" w:rsidRDefault="0086664C" w:rsidP="0086664C">
      <w:pPr>
        <w:spacing w:after="160" w:line="259" w:lineRule="auto"/>
        <w:rPr>
          <w:rFonts w:ascii="Calibri" w:eastAsia="Calibri" w:hAnsi="Calibri"/>
          <w:szCs w:val="24"/>
        </w:rPr>
      </w:pPr>
    </w:p>
    <w:p w14:paraId="7BC3A11A" w14:textId="6DFD8771" w:rsidR="007178EB" w:rsidRPr="00D72D2A" w:rsidRDefault="00372AF7" w:rsidP="002B5F73">
      <w:pPr>
        <w:spacing w:after="160" w:line="259" w:lineRule="auto"/>
        <w:ind w:left="720" w:hanging="720"/>
        <w:rPr>
          <w:rFonts w:eastAsia="Calibri" w:cs="Arial"/>
          <w:szCs w:val="24"/>
        </w:rPr>
      </w:pPr>
      <w:r w:rsidRPr="00D72D2A">
        <w:rPr>
          <w:rFonts w:eastAsia="Calibri" w:cs="Arial"/>
          <w:szCs w:val="24"/>
        </w:rPr>
        <w:t xml:space="preserve">2.1 </w:t>
      </w:r>
      <w:r w:rsidR="00D72D2A">
        <w:rPr>
          <w:rFonts w:eastAsia="Calibri" w:cs="Arial"/>
          <w:szCs w:val="24"/>
        </w:rPr>
        <w:tab/>
      </w:r>
      <w:r w:rsidR="00EF2847">
        <w:rPr>
          <w:rFonts w:eastAsia="Calibri" w:cs="Arial"/>
          <w:szCs w:val="24"/>
        </w:rPr>
        <w:t xml:space="preserve">Since reviewing the legislation for work on another constitution </w:t>
      </w:r>
      <w:r w:rsidR="001C5A53">
        <w:rPr>
          <w:rFonts w:eastAsia="Calibri" w:cs="Arial"/>
          <w:szCs w:val="24"/>
        </w:rPr>
        <w:t xml:space="preserve">it is considered that improvements can be made in drafting to better </w:t>
      </w:r>
      <w:r w:rsidR="000A74B4">
        <w:rPr>
          <w:rFonts w:eastAsia="Calibri" w:cs="Arial"/>
          <w:szCs w:val="24"/>
        </w:rPr>
        <w:t xml:space="preserve">and more literally </w:t>
      </w:r>
      <w:r w:rsidR="001C5A53">
        <w:rPr>
          <w:rFonts w:eastAsia="Calibri" w:cs="Arial"/>
          <w:szCs w:val="24"/>
        </w:rPr>
        <w:t xml:space="preserve">reflect the </w:t>
      </w:r>
      <w:r w:rsidR="00EE643A">
        <w:rPr>
          <w:rFonts w:eastAsia="Calibri" w:cs="Arial"/>
          <w:szCs w:val="24"/>
        </w:rPr>
        <w:t>legalisation regarding executive functions.</w:t>
      </w:r>
    </w:p>
    <w:p w14:paraId="6D4AECD1" w14:textId="60B1B234" w:rsidR="007178EB" w:rsidRPr="00914FE8" w:rsidRDefault="001534B6" w:rsidP="00914FE8">
      <w:pPr>
        <w:spacing w:after="160" w:line="259" w:lineRule="auto"/>
        <w:ind w:left="720" w:hanging="720"/>
        <w:rPr>
          <w:rFonts w:eastAsia="Calibri" w:cs="Arial"/>
          <w:szCs w:val="24"/>
        </w:rPr>
      </w:pPr>
      <w:r w:rsidRPr="00D72D2A">
        <w:rPr>
          <w:rFonts w:eastAsia="Calibri" w:cs="Arial"/>
          <w:szCs w:val="24"/>
        </w:rPr>
        <w:t xml:space="preserve">2.3 </w:t>
      </w:r>
      <w:r w:rsidR="00D72D2A">
        <w:rPr>
          <w:rFonts w:eastAsia="Calibri" w:cs="Arial"/>
          <w:szCs w:val="24"/>
        </w:rPr>
        <w:tab/>
      </w:r>
      <w:r w:rsidRPr="00D72D2A">
        <w:rPr>
          <w:rFonts w:eastAsia="Calibri" w:cs="Arial"/>
          <w:szCs w:val="24"/>
        </w:rPr>
        <w:t>Th</w:t>
      </w:r>
      <w:r w:rsidR="00EE643A">
        <w:rPr>
          <w:rFonts w:eastAsia="Calibri" w:cs="Arial"/>
          <w:szCs w:val="24"/>
        </w:rPr>
        <w:t xml:space="preserve">e amendments have been considered by members of </w:t>
      </w:r>
      <w:r w:rsidR="003B1CE7">
        <w:rPr>
          <w:rFonts w:eastAsia="Calibri" w:cs="Arial"/>
          <w:szCs w:val="24"/>
        </w:rPr>
        <w:t xml:space="preserve">the </w:t>
      </w:r>
      <w:r w:rsidR="003B1CE7" w:rsidRPr="00D72D2A">
        <w:rPr>
          <w:rFonts w:eastAsia="Calibri" w:cs="Arial"/>
          <w:szCs w:val="24"/>
        </w:rPr>
        <w:t>Constitution</w:t>
      </w:r>
      <w:r w:rsidRPr="00D72D2A">
        <w:rPr>
          <w:rFonts w:eastAsia="Calibri" w:cs="Arial"/>
          <w:szCs w:val="24"/>
        </w:rPr>
        <w:t xml:space="preserve"> Review Working Group </w:t>
      </w:r>
      <w:r w:rsidR="009E3DF4">
        <w:rPr>
          <w:rFonts w:eastAsia="Calibri" w:cs="Arial"/>
          <w:szCs w:val="24"/>
        </w:rPr>
        <w:t xml:space="preserve">by email. </w:t>
      </w:r>
    </w:p>
    <w:p w14:paraId="3469E0D9" w14:textId="77777777" w:rsidR="00213BE7" w:rsidRDefault="00213BE7" w:rsidP="00213BE7">
      <w:pPr>
        <w:pStyle w:val="Heading2"/>
      </w:pPr>
      <w:r>
        <w:t>Legal Implications</w:t>
      </w:r>
    </w:p>
    <w:p w14:paraId="0B1465C6" w14:textId="14F3C418" w:rsidR="00911568" w:rsidRPr="00914FE8" w:rsidRDefault="003529F5" w:rsidP="00157A02">
      <w:pPr>
        <w:shd w:val="clear" w:color="auto" w:fill="FFFFFF"/>
        <w:spacing w:before="100" w:beforeAutospacing="1" w:after="100" w:afterAutospacing="1" w:line="320" w:lineRule="atLeast"/>
        <w:ind w:left="720" w:hanging="720"/>
        <w:textAlignment w:val="baseline"/>
        <w:rPr>
          <w:rFonts w:cs="Arial"/>
          <w:color w:val="3D3D3D"/>
          <w:szCs w:val="24"/>
          <w:lang w:eastAsia="en-GB"/>
        </w:rPr>
      </w:pPr>
      <w:r>
        <w:rPr>
          <w:rFonts w:cs="Arial"/>
          <w:color w:val="3D3D3D"/>
          <w:szCs w:val="24"/>
          <w:lang w:eastAsia="en-GB"/>
        </w:rPr>
        <w:t>3.1</w:t>
      </w:r>
      <w:r>
        <w:rPr>
          <w:rFonts w:cs="Arial"/>
          <w:color w:val="3D3D3D"/>
          <w:szCs w:val="24"/>
          <w:lang w:eastAsia="en-GB"/>
        </w:rPr>
        <w:tab/>
      </w:r>
      <w:r w:rsidR="00992113">
        <w:rPr>
          <w:color w:val="000000"/>
        </w:rPr>
        <w:t>s 9E of the L</w:t>
      </w:r>
      <w:r w:rsidR="00B635AB">
        <w:rPr>
          <w:color w:val="000000"/>
        </w:rPr>
        <w:t xml:space="preserve">ocal </w:t>
      </w:r>
      <w:r w:rsidR="00992113">
        <w:rPr>
          <w:color w:val="000000"/>
        </w:rPr>
        <w:t>G</w:t>
      </w:r>
      <w:r w:rsidR="00B635AB">
        <w:rPr>
          <w:color w:val="000000"/>
        </w:rPr>
        <w:t xml:space="preserve">overnment </w:t>
      </w:r>
      <w:r w:rsidR="00992113">
        <w:rPr>
          <w:color w:val="000000"/>
        </w:rPr>
        <w:t>A</w:t>
      </w:r>
      <w:r w:rsidR="00B635AB">
        <w:rPr>
          <w:color w:val="000000"/>
        </w:rPr>
        <w:t>ct</w:t>
      </w:r>
      <w:r w:rsidR="00992113">
        <w:rPr>
          <w:color w:val="000000"/>
        </w:rPr>
        <w:t xml:space="preserve"> 2000 </w:t>
      </w:r>
      <w:r w:rsidR="00F16D30">
        <w:rPr>
          <w:color w:val="000000"/>
        </w:rPr>
        <w:t xml:space="preserve">(as amended by </w:t>
      </w:r>
      <w:r w:rsidR="00BC1417">
        <w:rPr>
          <w:color w:val="000000"/>
        </w:rPr>
        <w:t>the Localism Act</w:t>
      </w:r>
      <w:r w:rsidR="00B61C4B">
        <w:rPr>
          <w:color w:val="000000"/>
        </w:rPr>
        <w:t xml:space="preserve"> </w:t>
      </w:r>
      <w:r w:rsidR="00BC1417">
        <w:rPr>
          <w:color w:val="000000"/>
        </w:rPr>
        <w:t>2011</w:t>
      </w:r>
      <w:r w:rsidR="00CE030C">
        <w:rPr>
          <w:color w:val="000000"/>
        </w:rPr>
        <w:t>)</w:t>
      </w:r>
      <w:r w:rsidR="00BC1417">
        <w:rPr>
          <w:color w:val="000000"/>
        </w:rPr>
        <w:t xml:space="preserve"> </w:t>
      </w:r>
      <w:r w:rsidR="00992113">
        <w:rPr>
          <w:color w:val="000000"/>
        </w:rPr>
        <w:t>provides as follows:</w:t>
      </w:r>
      <w:r w:rsidR="00992113">
        <w:rPr>
          <w:rFonts w:cs="Arial"/>
          <w:color w:val="000000"/>
          <w:sz w:val="20"/>
        </w:rPr>
        <w:br/>
      </w:r>
      <w:r w:rsidR="00992113">
        <w:rPr>
          <w:i/>
          <w:iCs/>
          <w:color w:val="000000"/>
          <w:sz w:val="20"/>
        </w:rPr>
        <w:t> </w:t>
      </w:r>
      <w:r w:rsidR="00992113">
        <w:rPr>
          <w:rFonts w:cs="Arial"/>
          <w:color w:val="000000"/>
          <w:sz w:val="20"/>
        </w:rPr>
        <w:br/>
      </w:r>
      <w:r w:rsidR="00992113">
        <w:rPr>
          <w:b/>
          <w:bCs/>
          <w:i/>
          <w:iCs/>
          <w:color w:val="000000"/>
        </w:rPr>
        <w:t>9E Discharge of functions: general</w:t>
      </w:r>
      <w:r w:rsidR="00992113">
        <w:rPr>
          <w:rFonts w:cs="Arial"/>
          <w:color w:val="000000"/>
          <w:sz w:val="20"/>
        </w:rPr>
        <w:br/>
      </w:r>
      <w:r w:rsidR="00992113">
        <w:rPr>
          <w:i/>
          <w:iCs/>
          <w:color w:val="000000"/>
          <w:sz w:val="20"/>
        </w:rPr>
        <w:t> </w:t>
      </w:r>
      <w:r w:rsidR="00992113">
        <w:rPr>
          <w:rFonts w:cs="Arial"/>
          <w:color w:val="000000"/>
          <w:sz w:val="20"/>
        </w:rPr>
        <w:br/>
      </w:r>
      <w:r w:rsidR="00992113">
        <w:rPr>
          <w:i/>
          <w:iCs/>
          <w:color w:val="000000"/>
        </w:rPr>
        <w:t>(1)     …  any functions which, under executive arrangements, are the responsibility of— … (b)     a leader and cabinet executive are to be discharged in accordance with this section.</w:t>
      </w:r>
      <w:r w:rsidR="00992113">
        <w:rPr>
          <w:rFonts w:cs="Arial"/>
          <w:color w:val="000000"/>
          <w:sz w:val="20"/>
        </w:rPr>
        <w:br/>
      </w:r>
      <w:r w:rsidR="00992113">
        <w:rPr>
          <w:i/>
          <w:iCs/>
          <w:color w:val="000000"/>
          <w:sz w:val="20"/>
        </w:rPr>
        <w:t> </w:t>
      </w:r>
      <w:r w:rsidR="00992113">
        <w:rPr>
          <w:rFonts w:cs="Arial"/>
          <w:color w:val="000000"/>
          <w:sz w:val="20"/>
        </w:rPr>
        <w:br/>
      </w:r>
      <w:r w:rsidR="00992113">
        <w:rPr>
          <w:i/>
          <w:iCs/>
          <w:color w:val="000000"/>
        </w:rPr>
        <w:t xml:space="preserve">(2)     The senior executive member </w:t>
      </w:r>
      <w:r w:rsidR="00992113">
        <w:rPr>
          <w:color w:val="000000"/>
        </w:rPr>
        <w:t>[who is defined as the leader in subs (8)]—</w:t>
      </w:r>
      <w:r w:rsidR="00992113">
        <w:rPr>
          <w:rFonts w:cs="Arial"/>
          <w:color w:val="000000"/>
          <w:sz w:val="20"/>
        </w:rPr>
        <w:br/>
      </w:r>
      <w:r w:rsidR="00992113">
        <w:rPr>
          <w:i/>
          <w:iCs/>
          <w:color w:val="000000"/>
          <w:sz w:val="20"/>
        </w:rPr>
        <w:t> </w:t>
      </w:r>
      <w:r w:rsidR="00992113">
        <w:rPr>
          <w:rFonts w:cs="Arial"/>
          <w:color w:val="000000"/>
          <w:sz w:val="20"/>
        </w:rPr>
        <w:br/>
      </w:r>
      <w:r w:rsidR="00992113">
        <w:rPr>
          <w:i/>
          <w:iCs/>
          <w:color w:val="000000"/>
        </w:rPr>
        <w:t>(a)     may discharge any of those functions, or</w:t>
      </w:r>
      <w:r w:rsidR="00992113">
        <w:rPr>
          <w:rFonts w:cs="Arial"/>
          <w:color w:val="000000"/>
          <w:sz w:val="20"/>
        </w:rPr>
        <w:br/>
      </w:r>
      <w:r w:rsidR="00992113">
        <w:rPr>
          <w:i/>
          <w:iCs/>
          <w:color w:val="000000"/>
          <w:sz w:val="20"/>
        </w:rPr>
        <w:t> </w:t>
      </w:r>
      <w:r w:rsidR="00992113">
        <w:rPr>
          <w:rFonts w:cs="Arial"/>
          <w:color w:val="000000"/>
          <w:sz w:val="20"/>
        </w:rPr>
        <w:br/>
      </w:r>
      <w:r w:rsidR="00992113">
        <w:rPr>
          <w:i/>
          <w:iCs/>
          <w:color w:val="000000"/>
        </w:rPr>
        <w:t>(b)     may arrange for the discharge of any of those functions— (</w:t>
      </w:r>
      <w:proofErr w:type="spellStart"/>
      <w:r w:rsidR="00992113">
        <w:rPr>
          <w:i/>
          <w:iCs/>
          <w:color w:val="000000"/>
        </w:rPr>
        <w:t>i</w:t>
      </w:r>
      <w:proofErr w:type="spellEnd"/>
      <w:r w:rsidR="00992113">
        <w:rPr>
          <w:i/>
          <w:iCs/>
          <w:color w:val="000000"/>
        </w:rPr>
        <w:t>) by the executive, (ii)by another member of the executive, (iii) by a committee of the executive, (iv) by an area committee, or (v) by an officer of the authority.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750BA539" w14:textId="04983907" w:rsidR="002A2389" w:rsidRDefault="00BB037E" w:rsidP="00BB037E">
      <w:pPr>
        <w:ind w:left="720" w:hanging="720"/>
      </w:pPr>
      <w:r>
        <w:t>4.1</w:t>
      </w:r>
      <w:r>
        <w:tab/>
      </w:r>
      <w:r w:rsidR="00FD03FF">
        <w:t xml:space="preserve">The </w:t>
      </w:r>
      <w:r w:rsidR="00B61C4B">
        <w:t xml:space="preserve">amendments to the constitution </w:t>
      </w:r>
      <w:r w:rsidR="00FF7910">
        <w:t xml:space="preserve">will be </w:t>
      </w:r>
      <w:r w:rsidR="009970DA">
        <w:t>contained within existing budgets.</w:t>
      </w:r>
    </w:p>
    <w:p w14:paraId="1990F73F" w14:textId="77777777" w:rsidR="0054758A" w:rsidRDefault="0054758A" w:rsidP="00BB037E">
      <w:pPr>
        <w:ind w:left="720" w:hanging="720"/>
        <w:rPr>
          <w:rFonts w:cs="Arial"/>
        </w:rPr>
      </w:pPr>
    </w:p>
    <w:p w14:paraId="263B5602" w14:textId="77777777" w:rsidR="00914FE8" w:rsidRDefault="00914FE8" w:rsidP="003D2FFE">
      <w:pPr>
        <w:pStyle w:val="Heading2"/>
        <w:spacing w:after="240"/>
      </w:pPr>
    </w:p>
    <w:p w14:paraId="5E1DD1CE" w14:textId="77777777" w:rsidR="00914FE8" w:rsidRDefault="00914FE8" w:rsidP="003D2FFE">
      <w:pPr>
        <w:pStyle w:val="Heading2"/>
        <w:spacing w:after="240"/>
      </w:pPr>
    </w:p>
    <w:p w14:paraId="51E02F0F" w14:textId="77777777" w:rsidR="00914FE8" w:rsidRDefault="00914FE8" w:rsidP="003D2FFE">
      <w:pPr>
        <w:pStyle w:val="Heading2"/>
        <w:spacing w:after="240"/>
      </w:pPr>
    </w:p>
    <w:p w14:paraId="5ACE80EE" w14:textId="3906B87C" w:rsidR="00C32DAE" w:rsidRPr="003D2FFE" w:rsidRDefault="00C32DAE" w:rsidP="003D2FFE">
      <w:pPr>
        <w:pStyle w:val="Heading2"/>
        <w:spacing w:after="240"/>
      </w:pPr>
      <w:r>
        <w:lastRenderedPageBreak/>
        <w:t>Risk Management Implications</w:t>
      </w:r>
    </w:p>
    <w:p w14:paraId="56A99BD5" w14:textId="2F6D60AE" w:rsidR="004A4A1D" w:rsidRPr="00105B8A" w:rsidRDefault="00BB037E" w:rsidP="00BB037E">
      <w:pPr>
        <w:ind w:left="720" w:hanging="720"/>
        <w:rPr>
          <w:color w:val="0000FF"/>
        </w:rPr>
      </w:pPr>
      <w:r>
        <w:t xml:space="preserve">5.1 </w:t>
      </w:r>
      <w:r>
        <w:tab/>
      </w:r>
      <w:r w:rsidR="00A75401">
        <w:t xml:space="preserve">The </w:t>
      </w:r>
      <w:r w:rsidR="005D4553">
        <w:t xml:space="preserve">drafting amendments will better reflect the </w:t>
      </w:r>
      <w:r w:rsidR="00D560AF">
        <w:t xml:space="preserve">legislation. </w:t>
      </w:r>
    </w:p>
    <w:p w14:paraId="43CC1C4F" w14:textId="77777777" w:rsidR="004A4A1D" w:rsidRDefault="004A4A1D" w:rsidP="004A4A1D">
      <w:pPr>
        <w:tabs>
          <w:tab w:val="left" w:pos="5610"/>
        </w:tabs>
        <w:ind w:left="567" w:right="81" w:hanging="567"/>
        <w:rPr>
          <w:rFonts w:cs="Arial"/>
          <w:szCs w:val="24"/>
          <w:lang w:val="en-US"/>
        </w:rPr>
      </w:pPr>
    </w:p>
    <w:p w14:paraId="0866EC0D" w14:textId="4C86E49F" w:rsidR="004A4A1D" w:rsidRPr="00105B8A" w:rsidRDefault="004A4A1D" w:rsidP="00376C30">
      <w:pPr>
        <w:tabs>
          <w:tab w:val="left" w:pos="5610"/>
        </w:tabs>
        <w:ind w:right="81" w:firstLine="709"/>
        <w:rPr>
          <w:color w:val="0000FF"/>
        </w:rPr>
      </w:pPr>
      <w:r>
        <w:rPr>
          <w:rFonts w:cs="Arial"/>
          <w:szCs w:val="24"/>
          <w:lang w:val="en-US"/>
        </w:rPr>
        <w:t>Risks included on corporate or directorate risk</w:t>
      </w:r>
      <w:r w:rsidR="00F8650F">
        <w:rPr>
          <w:rFonts w:cs="Arial"/>
          <w:szCs w:val="24"/>
          <w:lang w:val="en-US"/>
        </w:rPr>
        <w:t xml:space="preserve"> register</w:t>
      </w:r>
      <w:r w:rsidR="003B1CE7">
        <w:rPr>
          <w:rFonts w:cs="Arial"/>
          <w:szCs w:val="24"/>
          <w:lang w:val="en-US"/>
        </w:rPr>
        <w:t xml:space="preserve">? </w:t>
      </w:r>
      <w:r>
        <w:rPr>
          <w:rFonts w:cs="Arial"/>
          <w:b/>
          <w:bCs/>
          <w:szCs w:val="24"/>
          <w:lang w:val="en-US"/>
        </w:rPr>
        <w:t>No</w:t>
      </w:r>
      <w:r>
        <w:rPr>
          <w:rFonts w:cs="Arial"/>
          <w:szCs w:val="24"/>
          <w:lang w:val="en-US"/>
        </w:rPr>
        <w:t xml:space="preserve"> </w:t>
      </w:r>
    </w:p>
    <w:p w14:paraId="6F7A7108" w14:textId="77777777" w:rsidR="004A4A1D" w:rsidRDefault="004A4A1D" w:rsidP="004A4A1D">
      <w:pPr>
        <w:ind w:left="-142"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  </w:t>
      </w:r>
    </w:p>
    <w:p w14:paraId="474F3698" w14:textId="4183F703" w:rsidR="004A4A1D" w:rsidRDefault="004A4A1D" w:rsidP="00376C30">
      <w:pPr>
        <w:ind w:left="-142" w:right="141" w:firstLine="851"/>
        <w:rPr>
          <w:rFonts w:cs="Arial"/>
          <w:color w:val="4F81BD" w:themeColor="accent1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Separate risk register in place? </w:t>
      </w:r>
      <w:r>
        <w:rPr>
          <w:rFonts w:cs="Arial"/>
          <w:b/>
          <w:bCs/>
          <w:szCs w:val="24"/>
          <w:lang w:val="en-US" w:eastAsia="en-GB"/>
        </w:rPr>
        <w:t>No</w:t>
      </w:r>
      <w:r>
        <w:rPr>
          <w:rFonts w:cs="Arial"/>
          <w:szCs w:val="24"/>
          <w:lang w:val="en-US" w:eastAsia="en-GB"/>
        </w:rPr>
        <w:t xml:space="preserve"> </w:t>
      </w:r>
    </w:p>
    <w:p w14:paraId="44EE3445" w14:textId="77777777" w:rsidR="004A4A1D" w:rsidRDefault="004A4A1D" w:rsidP="004A4A1D">
      <w:pPr>
        <w:tabs>
          <w:tab w:val="left" w:pos="5610"/>
        </w:tabs>
        <w:ind w:left="567" w:right="81" w:hanging="567"/>
      </w:pPr>
    </w:p>
    <w:p w14:paraId="015806C0" w14:textId="343D9626" w:rsidR="004A4A1D" w:rsidRDefault="004A4A1D" w:rsidP="003D6A15">
      <w:pPr>
        <w:tabs>
          <w:tab w:val="left" w:pos="5610"/>
        </w:tabs>
        <w:ind w:left="709" w:right="81"/>
      </w:pPr>
      <w:r>
        <w:t xml:space="preserve">The relevant risks contained in the register are attached/summarised below. </w:t>
      </w:r>
      <w:r>
        <w:rPr>
          <w:rFonts w:cs="Arial"/>
          <w:b/>
          <w:bCs/>
          <w:szCs w:val="24"/>
          <w:lang w:val="en-US" w:eastAsia="en-GB"/>
        </w:rPr>
        <w:t xml:space="preserve">n/a </w:t>
      </w:r>
    </w:p>
    <w:p w14:paraId="29079266" w14:textId="77777777" w:rsidR="004A4A1D" w:rsidRDefault="004A4A1D" w:rsidP="004A4A1D"/>
    <w:p w14:paraId="602795B7" w14:textId="77777777" w:rsidR="00EA0BAD" w:rsidRDefault="00EA0BAD" w:rsidP="00EA0BAD">
      <w:pPr>
        <w:ind w:left="567" w:right="141" w:hanging="567"/>
        <w:rPr>
          <w:rFonts w:cs="Arial"/>
          <w:szCs w:val="24"/>
          <w:lang w:val="en-US" w:eastAsia="en-GB"/>
        </w:rPr>
      </w:pPr>
    </w:p>
    <w:tbl>
      <w:tblPr>
        <w:tblW w:w="8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isk description table"/>
      </w:tblPr>
      <w:tblGrid>
        <w:gridCol w:w="3086"/>
        <w:gridCol w:w="3232"/>
        <w:gridCol w:w="1975"/>
      </w:tblGrid>
      <w:tr w:rsidR="00EA0BAD" w:rsidRPr="00EA0BAD" w14:paraId="6C5E63AA" w14:textId="77777777" w:rsidTr="00EA0BAD">
        <w:trPr>
          <w:trHeight w:val="432"/>
        </w:trPr>
        <w:tc>
          <w:tcPr>
            <w:tcW w:w="3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A76E83" w14:textId="77777777" w:rsidR="00EA0BAD" w:rsidRPr="00061BFE" w:rsidRDefault="00EA0BAD" w:rsidP="005B7A2F">
            <w:pPr>
              <w:ind w:right="135"/>
              <w:textAlignment w:val="baseline"/>
              <w:rPr>
                <w:rFonts w:cs="Arial"/>
                <w:sz w:val="18"/>
                <w:szCs w:val="18"/>
                <w:lang w:eastAsia="en-GB"/>
              </w:rPr>
            </w:pPr>
            <w:r w:rsidRPr="00061BFE">
              <w:rPr>
                <w:rFonts w:cs="Arial"/>
                <w:b/>
                <w:szCs w:val="24"/>
              </w:rPr>
              <w:t>Risk Description</w:t>
            </w:r>
            <w:r w:rsidRPr="00061BFE">
              <w:rPr>
                <w:rFonts w:cs="Arial"/>
                <w:szCs w:val="24"/>
              </w:rPr>
              <w:t> </w:t>
            </w:r>
          </w:p>
        </w:tc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477A0B" w14:textId="77777777" w:rsidR="00EA0BAD" w:rsidRPr="00061BFE" w:rsidRDefault="00EA0BAD" w:rsidP="005B7A2F">
            <w:pPr>
              <w:ind w:right="135"/>
              <w:textAlignment w:val="baseline"/>
              <w:rPr>
                <w:rFonts w:cs="Arial"/>
                <w:sz w:val="18"/>
                <w:szCs w:val="18"/>
                <w:lang w:eastAsia="en-GB"/>
              </w:rPr>
            </w:pPr>
            <w:r w:rsidRPr="00061BFE">
              <w:rPr>
                <w:rFonts w:cs="Arial"/>
                <w:b/>
                <w:szCs w:val="24"/>
              </w:rPr>
              <w:t>Mitigations</w:t>
            </w:r>
            <w:r w:rsidRPr="00061BFE">
              <w:rPr>
                <w:rFonts w:cs="Arial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21EBC2" w14:textId="77777777" w:rsidR="00EA0BAD" w:rsidRPr="00061BFE" w:rsidRDefault="00EA0BAD" w:rsidP="005B7A2F">
            <w:pPr>
              <w:ind w:left="165" w:right="135"/>
              <w:textAlignment w:val="baseline"/>
              <w:rPr>
                <w:rFonts w:cs="Arial"/>
                <w:sz w:val="18"/>
                <w:szCs w:val="18"/>
                <w:lang w:eastAsia="en-GB"/>
              </w:rPr>
            </w:pPr>
            <w:r w:rsidRPr="00061BFE">
              <w:rPr>
                <w:rFonts w:cs="Arial"/>
                <w:b/>
                <w:szCs w:val="24"/>
              </w:rPr>
              <w:t>RAG Status</w:t>
            </w:r>
            <w:r w:rsidRPr="00061BFE">
              <w:rPr>
                <w:rFonts w:cs="Arial"/>
                <w:szCs w:val="24"/>
              </w:rPr>
              <w:t> </w:t>
            </w:r>
          </w:p>
        </w:tc>
      </w:tr>
      <w:tr w:rsidR="00EA0BAD" w:rsidRPr="00EA0BAD" w14:paraId="234B36D1" w14:textId="77777777" w:rsidTr="001B4B43">
        <w:tc>
          <w:tcPr>
            <w:tcW w:w="3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B81784" w14:textId="6F32F2A1" w:rsidR="00EA0BAD" w:rsidRPr="00061BFE" w:rsidRDefault="008767B2" w:rsidP="005B7A2F">
            <w:pPr>
              <w:ind w:right="135"/>
              <w:textAlignment w:val="baseline"/>
              <w:rPr>
                <w:rFonts w:cs="Arial"/>
                <w:sz w:val="18"/>
                <w:szCs w:val="18"/>
                <w:lang w:eastAsia="en-GB"/>
              </w:rPr>
            </w:pPr>
            <w:r w:rsidRPr="00061BFE">
              <w:rPr>
                <w:rFonts w:cs="Arial"/>
                <w:szCs w:val="24"/>
              </w:rPr>
              <w:t>Th</w:t>
            </w:r>
            <w:r w:rsidR="00C166B6" w:rsidRPr="00061BFE">
              <w:rPr>
                <w:rFonts w:cs="Arial"/>
                <w:szCs w:val="24"/>
              </w:rPr>
              <w:t>at the changes do not improve the interpretation of the constitution.</w:t>
            </w:r>
            <w:r w:rsidRPr="00061BF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6AD5AF" w14:textId="34BE712C" w:rsidR="00EA0BAD" w:rsidRPr="00061BFE" w:rsidRDefault="00891520" w:rsidP="00EA0BAD">
            <w:pPr>
              <w:pStyle w:val="ListParagraph"/>
              <w:numPr>
                <w:ilvl w:val="0"/>
                <w:numId w:val="19"/>
              </w:numPr>
              <w:ind w:left="454" w:hanging="283"/>
              <w:textAlignment w:val="baseline"/>
              <w:rPr>
                <w:color w:val="auto"/>
                <w:szCs w:val="24"/>
                <w:lang w:val="en-US"/>
              </w:rPr>
            </w:pPr>
            <w:r w:rsidRPr="00061BFE">
              <w:rPr>
                <w:color w:val="auto"/>
                <w:szCs w:val="24"/>
                <w:lang w:val="en-US"/>
              </w:rPr>
              <w:t xml:space="preserve">The </w:t>
            </w:r>
            <w:r w:rsidRPr="001B4B43">
              <w:rPr>
                <w:color w:val="auto"/>
                <w:szCs w:val="24"/>
                <w:lang w:val="en-US"/>
              </w:rPr>
              <w:t>changes</w:t>
            </w:r>
            <w:r w:rsidRPr="00061BFE">
              <w:rPr>
                <w:color w:val="auto"/>
                <w:szCs w:val="24"/>
                <w:lang w:val="en-US"/>
              </w:rPr>
              <w:t xml:space="preserve"> are a more literal and clear interpretation of the legislation.</w:t>
            </w:r>
          </w:p>
          <w:p w14:paraId="56944CED" w14:textId="2CB1FF5B" w:rsidR="00EA0BAD" w:rsidRPr="00061BFE" w:rsidRDefault="00EA0BAD" w:rsidP="00891520">
            <w:pPr>
              <w:pStyle w:val="ListParagraph"/>
              <w:ind w:left="454"/>
              <w:textAlignment w:val="baseline"/>
              <w:rPr>
                <w:color w:val="auto"/>
                <w:szCs w:val="24"/>
              </w:rPr>
            </w:pPr>
          </w:p>
          <w:p w14:paraId="1257FC56" w14:textId="3536EBE8" w:rsidR="00EA0BAD" w:rsidRPr="00061BFE" w:rsidRDefault="00EA0BAD" w:rsidP="00891520">
            <w:pPr>
              <w:pStyle w:val="ListParagraph"/>
              <w:ind w:left="454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  <w:vAlign w:val="center"/>
          </w:tcPr>
          <w:p w14:paraId="547839B8" w14:textId="546B5591" w:rsidR="00EA0BAD" w:rsidRPr="00061BFE" w:rsidRDefault="00891520" w:rsidP="005B7A2F">
            <w:pPr>
              <w:ind w:left="165" w:right="135"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B4B43">
              <w:rPr>
                <w:rFonts w:cs="Arial"/>
                <w:b/>
                <w:bCs/>
                <w:sz w:val="18"/>
                <w:szCs w:val="18"/>
                <w:lang w:eastAsia="en-GB"/>
              </w:rPr>
              <w:t>Green</w:t>
            </w:r>
          </w:p>
        </w:tc>
      </w:tr>
    </w:tbl>
    <w:p w14:paraId="7C122BCF" w14:textId="77777777" w:rsidR="00EA0BAD" w:rsidRDefault="00EA0BAD" w:rsidP="004A4A1D"/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76DCB596" w14:textId="1E36EEF2" w:rsidR="00FD31A0" w:rsidRPr="004A2543" w:rsidRDefault="00FD31A0" w:rsidP="00FD31A0">
      <w:r w:rsidRPr="004A2543">
        <w:t xml:space="preserve">Was an Equality Impact Assessment carried out?  </w:t>
      </w:r>
      <w:r>
        <w:t xml:space="preserve">No </w:t>
      </w:r>
    </w:p>
    <w:p w14:paraId="0C2F27D8" w14:textId="77777777" w:rsidR="00FD31A0" w:rsidRPr="004A2543" w:rsidRDefault="00FD31A0" w:rsidP="00FD31A0"/>
    <w:p w14:paraId="7800441F" w14:textId="77777777" w:rsidR="00FD31A0" w:rsidRPr="004A2543" w:rsidRDefault="00FD31A0" w:rsidP="00FD31A0">
      <w:r w:rsidRPr="004A2543">
        <w:t xml:space="preserve">If no, state why an </w:t>
      </w:r>
      <w:proofErr w:type="spellStart"/>
      <w:r w:rsidRPr="004A2543">
        <w:t>EqIA</w:t>
      </w:r>
      <w:proofErr w:type="spellEnd"/>
      <w:r w:rsidRPr="004A2543">
        <w:t xml:space="preserve"> was not carried out below:</w:t>
      </w:r>
    </w:p>
    <w:p w14:paraId="354F5D53" w14:textId="16803378" w:rsidR="00FD31A0" w:rsidRDefault="00FD31A0" w:rsidP="00FD31A0">
      <w:pPr>
        <w:ind w:right="141"/>
        <w:rPr>
          <w:rFonts w:cs="Arial"/>
          <w:szCs w:val="24"/>
          <w:lang w:val="en-US"/>
        </w:rPr>
      </w:pPr>
    </w:p>
    <w:p w14:paraId="4F4338B1" w14:textId="4CC7A3B7" w:rsidR="003D6A15" w:rsidRDefault="003D6A15" w:rsidP="00FD31A0">
      <w:pPr>
        <w:ind w:right="14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There are no equalities implications with the </w:t>
      </w:r>
      <w:r w:rsidR="00F42DE6">
        <w:rPr>
          <w:rFonts w:cs="Arial"/>
          <w:szCs w:val="24"/>
          <w:lang w:val="en-US"/>
        </w:rPr>
        <w:t>suggested proposa</w:t>
      </w:r>
      <w:r w:rsidR="00C33A60">
        <w:rPr>
          <w:rFonts w:cs="Arial"/>
          <w:szCs w:val="24"/>
          <w:lang w:val="en-US"/>
        </w:rPr>
        <w:t>l</w:t>
      </w:r>
      <w:r w:rsidR="00F42DE6">
        <w:rPr>
          <w:rFonts w:cs="Arial"/>
          <w:szCs w:val="24"/>
          <w:lang w:val="en-US"/>
        </w:rPr>
        <w:t>.</w:t>
      </w:r>
    </w:p>
    <w:p w14:paraId="666B7771" w14:textId="77777777" w:rsidR="00CC02E2" w:rsidRPr="00EC6FE9" w:rsidRDefault="00CC02E2" w:rsidP="00CC02E2">
      <w:pPr>
        <w:pStyle w:val="Heading4"/>
        <w:spacing w:before="480"/>
      </w:pPr>
      <w:r w:rsidRPr="00EC6FE9">
        <w:t>Council Priorities</w:t>
      </w:r>
    </w:p>
    <w:p w14:paraId="26DEDF11" w14:textId="7BFF80E7" w:rsidR="006F6C52" w:rsidRDefault="00C33A60" w:rsidP="00CC02E2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The suggested</w:t>
      </w:r>
      <w:r w:rsidR="006C45CE">
        <w:rPr>
          <w:rFonts w:cs="Arial"/>
          <w:szCs w:val="24"/>
          <w:lang w:val="en-US"/>
        </w:rPr>
        <w:t xml:space="preserve"> proposal contributes</w:t>
      </w:r>
      <w:r w:rsidR="000A7856">
        <w:rPr>
          <w:rFonts w:cs="Arial"/>
          <w:szCs w:val="24"/>
          <w:lang w:val="en-US"/>
        </w:rPr>
        <w:t xml:space="preserve"> towards </w:t>
      </w:r>
      <w:r w:rsidR="00796EC0">
        <w:rPr>
          <w:rFonts w:cs="Arial"/>
          <w:szCs w:val="24"/>
          <w:lang w:val="en-US"/>
        </w:rPr>
        <w:t>all</w:t>
      </w:r>
      <w:r w:rsidR="000A7856">
        <w:rPr>
          <w:rFonts w:cs="Arial"/>
          <w:szCs w:val="24"/>
          <w:lang w:val="en-US"/>
        </w:rPr>
        <w:t xml:space="preserve"> the Council’s corporate priorities</w:t>
      </w:r>
      <w:r w:rsidR="00B432E8">
        <w:rPr>
          <w:rFonts w:cs="Arial"/>
          <w:szCs w:val="24"/>
          <w:lang w:val="en-US"/>
        </w:rPr>
        <w:t xml:space="preserve"> by clarifying the rules within the constitution</w:t>
      </w:r>
      <w:r w:rsidR="006F6C52">
        <w:rPr>
          <w:rFonts w:cs="Arial"/>
          <w:szCs w:val="24"/>
          <w:lang w:val="en-US"/>
        </w:rPr>
        <w:t>.</w:t>
      </w:r>
    </w:p>
    <w:p w14:paraId="28B886DE" w14:textId="77777777" w:rsidR="00B432E8" w:rsidRDefault="00B432E8" w:rsidP="00CC02E2">
      <w:pPr>
        <w:rPr>
          <w:rFonts w:cs="Arial"/>
          <w:szCs w:val="24"/>
          <w:lang w:val="en-US"/>
        </w:rPr>
      </w:pPr>
    </w:p>
    <w:p w14:paraId="7C2B0EAD" w14:textId="77777777" w:rsidR="006F6C52" w:rsidRPr="005033A4" w:rsidRDefault="006F6C52" w:rsidP="006F6C52">
      <w:pPr>
        <w:pStyle w:val="StyleListParagraphBold"/>
        <w:numPr>
          <w:ilvl w:val="0"/>
          <w:numId w:val="16"/>
        </w:numPr>
        <w:rPr>
          <w:szCs w:val="24"/>
          <w:lang w:eastAsia="en-US"/>
        </w:rPr>
      </w:pPr>
      <w:r w:rsidRPr="005033A4">
        <w:rPr>
          <w:szCs w:val="24"/>
        </w:rPr>
        <w:t>A council that puts residents first</w:t>
      </w:r>
    </w:p>
    <w:p w14:paraId="1ADF01EE" w14:textId="77777777" w:rsidR="006F6C52" w:rsidRPr="005033A4" w:rsidRDefault="006F6C52" w:rsidP="006F6C52">
      <w:pPr>
        <w:pStyle w:val="StyleListParagraphBold"/>
        <w:rPr>
          <w:szCs w:val="24"/>
          <w:lang w:eastAsia="en-US"/>
        </w:rPr>
      </w:pPr>
    </w:p>
    <w:p w14:paraId="7859BD55" w14:textId="77777777" w:rsidR="006F6C52" w:rsidRPr="005033A4" w:rsidRDefault="006F6C52" w:rsidP="006F6C52">
      <w:pPr>
        <w:pStyle w:val="StyleListParagraphBold"/>
        <w:numPr>
          <w:ilvl w:val="0"/>
          <w:numId w:val="16"/>
        </w:numPr>
        <w:rPr>
          <w:szCs w:val="24"/>
        </w:rPr>
      </w:pPr>
      <w:r w:rsidRPr="005033A4">
        <w:rPr>
          <w:szCs w:val="24"/>
        </w:rPr>
        <w:t>A borough that is clean and safe</w:t>
      </w:r>
    </w:p>
    <w:p w14:paraId="25C156B9" w14:textId="77777777" w:rsidR="006F6C52" w:rsidRPr="005033A4" w:rsidRDefault="006F6C52" w:rsidP="006F6C52">
      <w:pPr>
        <w:pStyle w:val="StyleListParagraphBold"/>
        <w:ind w:left="0"/>
        <w:rPr>
          <w:szCs w:val="24"/>
        </w:rPr>
      </w:pPr>
    </w:p>
    <w:p w14:paraId="33D593ED" w14:textId="791FFC8B" w:rsidR="00C33A60" w:rsidRPr="005033A4" w:rsidRDefault="006F6C52" w:rsidP="00F20918">
      <w:pPr>
        <w:pStyle w:val="StyleListParagraphBold"/>
        <w:numPr>
          <w:ilvl w:val="0"/>
          <w:numId w:val="16"/>
        </w:numPr>
        <w:rPr>
          <w:szCs w:val="24"/>
          <w:lang w:val="en-US"/>
        </w:rPr>
      </w:pPr>
      <w:r w:rsidRPr="005033A4">
        <w:rPr>
          <w:szCs w:val="24"/>
        </w:rPr>
        <w:t>A place where those in need are supported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8E1BF39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D34386">
        <w:rPr>
          <w:b/>
          <w:sz w:val="28"/>
        </w:rPr>
        <w:t>Dawn Calvert</w:t>
      </w:r>
    </w:p>
    <w:p w14:paraId="57640BD9" w14:textId="61325ED9" w:rsidR="00912904" w:rsidRPr="00A66326" w:rsidRDefault="00912904" w:rsidP="00912904">
      <w:r w:rsidRPr="00A66326">
        <w:t>Signed by the Chief Financial Officer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5745A2E3" w14:textId="776BE807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</w:t>
      </w:r>
      <w:r w:rsidR="007B0B23">
        <w:rPr>
          <w:b/>
          <w:sz w:val="28"/>
        </w:rPr>
        <w:t>16</w:t>
      </w:r>
      <w:r w:rsidR="00D34386">
        <w:rPr>
          <w:b/>
          <w:sz w:val="28"/>
        </w:rPr>
        <w:t>/0</w:t>
      </w:r>
      <w:r w:rsidR="00BE4ED4">
        <w:rPr>
          <w:b/>
          <w:sz w:val="28"/>
        </w:rPr>
        <w:t>5</w:t>
      </w:r>
      <w:r w:rsidR="00D34386">
        <w:rPr>
          <w:b/>
          <w:sz w:val="28"/>
        </w:rPr>
        <w:t>/2023</w:t>
      </w:r>
    </w:p>
    <w:p w14:paraId="2586CC50" w14:textId="201E62DB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lastRenderedPageBreak/>
        <w:t xml:space="preserve">Statutory Officer:  </w:t>
      </w:r>
      <w:r w:rsidR="00D34386">
        <w:rPr>
          <w:b/>
          <w:sz w:val="28"/>
        </w:rPr>
        <w:t>Jessica Farmer</w:t>
      </w:r>
    </w:p>
    <w:p w14:paraId="3F58D77A" w14:textId="69445C28" w:rsidR="00912904" w:rsidRPr="00A66326" w:rsidRDefault="00912904" w:rsidP="00912904">
      <w:r w:rsidRPr="00A66326">
        <w:t xml:space="preserve">Signed </w:t>
      </w:r>
      <w:r w:rsidR="005033A4">
        <w:t>by</w:t>
      </w:r>
      <w:r w:rsidRPr="00A66326">
        <w:t xml:space="preserve"> the Monitoring Officer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61F8C7E6" w14:textId="6D7D9161" w:rsidR="00912904" w:rsidRDefault="00912904" w:rsidP="00912904">
      <w:pPr>
        <w:spacing w:after="480"/>
        <w:rPr>
          <w:b/>
          <w:sz w:val="28"/>
        </w:rPr>
      </w:pPr>
      <w:r w:rsidRPr="00A66326">
        <w:rPr>
          <w:b/>
          <w:sz w:val="28"/>
        </w:rPr>
        <w:t>Date:</w:t>
      </w:r>
      <w:r w:rsidR="00D34386">
        <w:rPr>
          <w:b/>
          <w:sz w:val="28"/>
        </w:rPr>
        <w:t xml:space="preserve"> </w:t>
      </w:r>
      <w:r w:rsidR="007B0B23">
        <w:rPr>
          <w:b/>
          <w:sz w:val="28"/>
        </w:rPr>
        <w:t>16</w:t>
      </w:r>
      <w:r w:rsidR="00D34386">
        <w:rPr>
          <w:b/>
          <w:sz w:val="28"/>
        </w:rPr>
        <w:t>/0</w:t>
      </w:r>
      <w:r w:rsidR="00BE4ED4">
        <w:rPr>
          <w:b/>
          <w:sz w:val="28"/>
        </w:rPr>
        <w:t>5</w:t>
      </w:r>
      <w:r w:rsidR="00D34386">
        <w:rPr>
          <w:b/>
          <w:sz w:val="28"/>
        </w:rPr>
        <w:t>/2023</w:t>
      </w:r>
      <w:r w:rsidRPr="00A66326">
        <w:rPr>
          <w:b/>
          <w:sz w:val="28"/>
        </w:rPr>
        <w:t xml:space="preserve"> 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5B286ABD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3127F894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D54138">
        <w:rPr>
          <w:rFonts w:cs="Arial"/>
          <w:sz w:val="24"/>
        </w:rPr>
        <w:t>Vishal Seegoolam</w:t>
      </w:r>
      <w:r>
        <w:rPr>
          <w:rFonts w:cs="Arial"/>
          <w:sz w:val="24"/>
        </w:rPr>
        <w:t xml:space="preserve">, </w:t>
      </w:r>
      <w:r w:rsidR="00D54138">
        <w:rPr>
          <w:rFonts w:cs="Arial"/>
          <w:sz w:val="24"/>
        </w:rPr>
        <w:t>Democratic, Electoral &amp; Registration Services Manager</w:t>
      </w:r>
      <w:r>
        <w:rPr>
          <w:rFonts w:cs="Arial"/>
          <w:sz w:val="24"/>
        </w:rPr>
        <w:t xml:space="preserve">, </w:t>
      </w:r>
      <w:r w:rsidR="00D54138">
        <w:rPr>
          <w:rFonts w:cs="Arial"/>
          <w:sz w:val="24"/>
        </w:rPr>
        <w:t>020 8424 1158</w:t>
      </w:r>
    </w:p>
    <w:p w14:paraId="28AF6FE8" w14:textId="54544823" w:rsidR="002A2389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D54138">
        <w:rPr>
          <w:rFonts w:cs="Arial"/>
          <w:sz w:val="24"/>
        </w:rPr>
        <w:t>None</w:t>
      </w:r>
      <w:r>
        <w:rPr>
          <w:rFonts w:cs="Arial"/>
          <w:sz w:val="24"/>
        </w:rPr>
        <w:t>.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6024" w14:textId="77777777" w:rsidR="004F3BC6" w:rsidRDefault="004F3BC6">
      <w:r>
        <w:separator/>
      </w:r>
    </w:p>
  </w:endnote>
  <w:endnote w:type="continuationSeparator" w:id="0">
    <w:p w14:paraId="56E63BB7" w14:textId="77777777" w:rsidR="004F3BC6" w:rsidRDefault="004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0D00" w14:textId="77777777" w:rsidR="004F3BC6" w:rsidRDefault="004F3BC6">
      <w:r>
        <w:separator/>
      </w:r>
    </w:p>
  </w:footnote>
  <w:footnote w:type="continuationSeparator" w:id="0">
    <w:p w14:paraId="365C0A77" w14:textId="77777777" w:rsidR="004F3BC6" w:rsidRDefault="004F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97F"/>
    <w:multiLevelType w:val="hybridMultilevel"/>
    <w:tmpl w:val="3E48DDC2"/>
    <w:lvl w:ilvl="0" w:tplc="C7D2674C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16A1"/>
    <w:multiLevelType w:val="hybridMultilevel"/>
    <w:tmpl w:val="A044DDD2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650A9"/>
    <w:multiLevelType w:val="hybridMultilevel"/>
    <w:tmpl w:val="689A66AC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79676">
    <w:abstractNumId w:val="17"/>
  </w:num>
  <w:num w:numId="2" w16cid:durableId="296299777">
    <w:abstractNumId w:val="13"/>
  </w:num>
  <w:num w:numId="3" w16cid:durableId="2036423546">
    <w:abstractNumId w:val="16"/>
  </w:num>
  <w:num w:numId="4" w16cid:durableId="58480434">
    <w:abstractNumId w:val="1"/>
  </w:num>
  <w:num w:numId="5" w16cid:durableId="1534928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7124881">
    <w:abstractNumId w:val="9"/>
  </w:num>
  <w:num w:numId="7" w16cid:durableId="1357460606">
    <w:abstractNumId w:val="10"/>
  </w:num>
  <w:num w:numId="8" w16cid:durableId="2127843414">
    <w:abstractNumId w:val="6"/>
  </w:num>
  <w:num w:numId="9" w16cid:durableId="703024848">
    <w:abstractNumId w:val="4"/>
  </w:num>
  <w:num w:numId="10" w16cid:durableId="1814710237">
    <w:abstractNumId w:val="15"/>
  </w:num>
  <w:num w:numId="11" w16cid:durableId="352653229">
    <w:abstractNumId w:val="18"/>
  </w:num>
  <w:num w:numId="12" w16cid:durableId="1314136678">
    <w:abstractNumId w:val="14"/>
  </w:num>
  <w:num w:numId="13" w16cid:durableId="1220438083">
    <w:abstractNumId w:val="2"/>
  </w:num>
  <w:num w:numId="14" w16cid:durableId="1046754212">
    <w:abstractNumId w:val="8"/>
  </w:num>
  <w:num w:numId="15" w16cid:durableId="1427923820">
    <w:abstractNumId w:val="12"/>
  </w:num>
  <w:num w:numId="16" w16cid:durableId="20593694">
    <w:abstractNumId w:val="11"/>
  </w:num>
  <w:num w:numId="17" w16cid:durableId="1034884222">
    <w:abstractNumId w:val="3"/>
  </w:num>
  <w:num w:numId="18" w16cid:durableId="1365592186">
    <w:abstractNumId w:val="5"/>
  </w:num>
  <w:num w:numId="19" w16cid:durableId="886795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2577D"/>
    <w:rsid w:val="00047516"/>
    <w:rsid w:val="00057F10"/>
    <w:rsid w:val="00061BFE"/>
    <w:rsid w:val="000633A2"/>
    <w:rsid w:val="00065094"/>
    <w:rsid w:val="00071EB4"/>
    <w:rsid w:val="00077298"/>
    <w:rsid w:val="000A02E0"/>
    <w:rsid w:val="000A58A1"/>
    <w:rsid w:val="000A6659"/>
    <w:rsid w:val="000A74B4"/>
    <w:rsid w:val="000A7856"/>
    <w:rsid w:val="000B0E6F"/>
    <w:rsid w:val="000B6DBB"/>
    <w:rsid w:val="000D2BF2"/>
    <w:rsid w:val="000D5870"/>
    <w:rsid w:val="000F226E"/>
    <w:rsid w:val="000F65C0"/>
    <w:rsid w:val="001052AD"/>
    <w:rsid w:val="00140135"/>
    <w:rsid w:val="001534B6"/>
    <w:rsid w:val="00157A02"/>
    <w:rsid w:val="00172C95"/>
    <w:rsid w:val="001939BA"/>
    <w:rsid w:val="001A6EB0"/>
    <w:rsid w:val="001A78EE"/>
    <w:rsid w:val="001B441D"/>
    <w:rsid w:val="001B4B43"/>
    <w:rsid w:val="001C5225"/>
    <w:rsid w:val="001C5A53"/>
    <w:rsid w:val="001E0219"/>
    <w:rsid w:val="001F04C8"/>
    <w:rsid w:val="001F1196"/>
    <w:rsid w:val="001F16AD"/>
    <w:rsid w:val="00213BE7"/>
    <w:rsid w:val="00231A1D"/>
    <w:rsid w:val="00244120"/>
    <w:rsid w:val="00293F9F"/>
    <w:rsid w:val="002A2389"/>
    <w:rsid w:val="002A2BFC"/>
    <w:rsid w:val="002B5F73"/>
    <w:rsid w:val="002C08E2"/>
    <w:rsid w:val="002C1794"/>
    <w:rsid w:val="002D2FC5"/>
    <w:rsid w:val="002E6637"/>
    <w:rsid w:val="002E77E3"/>
    <w:rsid w:val="002F28FA"/>
    <w:rsid w:val="00332947"/>
    <w:rsid w:val="00333EB4"/>
    <w:rsid w:val="00345915"/>
    <w:rsid w:val="003514EC"/>
    <w:rsid w:val="003529F5"/>
    <w:rsid w:val="00365D29"/>
    <w:rsid w:val="00365DF5"/>
    <w:rsid w:val="00372AF7"/>
    <w:rsid w:val="00374F22"/>
    <w:rsid w:val="00376C30"/>
    <w:rsid w:val="003820C3"/>
    <w:rsid w:val="003B1CE7"/>
    <w:rsid w:val="003C2948"/>
    <w:rsid w:val="003D2FFE"/>
    <w:rsid w:val="003D5F0A"/>
    <w:rsid w:val="003D6A15"/>
    <w:rsid w:val="003E3E70"/>
    <w:rsid w:val="003E41B2"/>
    <w:rsid w:val="00400032"/>
    <w:rsid w:val="0042394B"/>
    <w:rsid w:val="004343E4"/>
    <w:rsid w:val="00473B08"/>
    <w:rsid w:val="00474B5F"/>
    <w:rsid w:val="0048025F"/>
    <w:rsid w:val="00482996"/>
    <w:rsid w:val="004A2715"/>
    <w:rsid w:val="004A3CE6"/>
    <w:rsid w:val="004A4A1D"/>
    <w:rsid w:val="004B2C9D"/>
    <w:rsid w:val="004B4A47"/>
    <w:rsid w:val="004D397A"/>
    <w:rsid w:val="004E667D"/>
    <w:rsid w:val="004E6AF9"/>
    <w:rsid w:val="004F3BC6"/>
    <w:rsid w:val="005031DF"/>
    <w:rsid w:val="005033A4"/>
    <w:rsid w:val="0054758A"/>
    <w:rsid w:val="00584303"/>
    <w:rsid w:val="00597314"/>
    <w:rsid w:val="005A61AF"/>
    <w:rsid w:val="005D0886"/>
    <w:rsid w:val="005D4553"/>
    <w:rsid w:val="005E384D"/>
    <w:rsid w:val="005F2181"/>
    <w:rsid w:val="005F724B"/>
    <w:rsid w:val="00606705"/>
    <w:rsid w:val="00625DFF"/>
    <w:rsid w:val="00626D8B"/>
    <w:rsid w:val="0063072B"/>
    <w:rsid w:val="006509B6"/>
    <w:rsid w:val="00662891"/>
    <w:rsid w:val="006628B7"/>
    <w:rsid w:val="00675FCB"/>
    <w:rsid w:val="006A0B87"/>
    <w:rsid w:val="006B3942"/>
    <w:rsid w:val="006C3914"/>
    <w:rsid w:val="006C45CE"/>
    <w:rsid w:val="006C4D4C"/>
    <w:rsid w:val="006D3648"/>
    <w:rsid w:val="006F6C52"/>
    <w:rsid w:val="007178EB"/>
    <w:rsid w:val="00717E8A"/>
    <w:rsid w:val="00735A1D"/>
    <w:rsid w:val="0074184E"/>
    <w:rsid w:val="00743829"/>
    <w:rsid w:val="00750817"/>
    <w:rsid w:val="00755F8D"/>
    <w:rsid w:val="00783495"/>
    <w:rsid w:val="007855AE"/>
    <w:rsid w:val="00796503"/>
    <w:rsid w:val="00796EC0"/>
    <w:rsid w:val="007B0AA2"/>
    <w:rsid w:val="007B0B23"/>
    <w:rsid w:val="007B0CB6"/>
    <w:rsid w:val="007D2BDA"/>
    <w:rsid w:val="007D56C8"/>
    <w:rsid w:val="007E3934"/>
    <w:rsid w:val="007E7303"/>
    <w:rsid w:val="0080255E"/>
    <w:rsid w:val="008212A0"/>
    <w:rsid w:val="00823AC2"/>
    <w:rsid w:val="00837F53"/>
    <w:rsid w:val="00861BD8"/>
    <w:rsid w:val="00862DDC"/>
    <w:rsid w:val="0086664C"/>
    <w:rsid w:val="008767B2"/>
    <w:rsid w:val="00887444"/>
    <w:rsid w:val="00891520"/>
    <w:rsid w:val="008D1750"/>
    <w:rsid w:val="008D7800"/>
    <w:rsid w:val="008E025C"/>
    <w:rsid w:val="008E2910"/>
    <w:rsid w:val="008E4913"/>
    <w:rsid w:val="008F1B15"/>
    <w:rsid w:val="00900464"/>
    <w:rsid w:val="0090100E"/>
    <w:rsid w:val="00911568"/>
    <w:rsid w:val="0091267D"/>
    <w:rsid w:val="00912904"/>
    <w:rsid w:val="00914FE8"/>
    <w:rsid w:val="0093767E"/>
    <w:rsid w:val="009468E4"/>
    <w:rsid w:val="00972A02"/>
    <w:rsid w:val="0097544B"/>
    <w:rsid w:val="0097626F"/>
    <w:rsid w:val="00991113"/>
    <w:rsid w:val="00992113"/>
    <w:rsid w:val="0099517C"/>
    <w:rsid w:val="009970DA"/>
    <w:rsid w:val="009A0937"/>
    <w:rsid w:val="009B2ECD"/>
    <w:rsid w:val="009B7914"/>
    <w:rsid w:val="009C6A18"/>
    <w:rsid w:val="009C7E06"/>
    <w:rsid w:val="009D5E06"/>
    <w:rsid w:val="009E39C2"/>
    <w:rsid w:val="009E3DF4"/>
    <w:rsid w:val="009F3328"/>
    <w:rsid w:val="009F430B"/>
    <w:rsid w:val="00A160B2"/>
    <w:rsid w:val="00A16271"/>
    <w:rsid w:val="00A36413"/>
    <w:rsid w:val="00A566E7"/>
    <w:rsid w:val="00A630BF"/>
    <w:rsid w:val="00A73B25"/>
    <w:rsid w:val="00A75401"/>
    <w:rsid w:val="00A940D3"/>
    <w:rsid w:val="00A96FCA"/>
    <w:rsid w:val="00AA4772"/>
    <w:rsid w:val="00AA4BE8"/>
    <w:rsid w:val="00AC0AAB"/>
    <w:rsid w:val="00AC7BA9"/>
    <w:rsid w:val="00AE50DE"/>
    <w:rsid w:val="00AF6CFD"/>
    <w:rsid w:val="00B0425E"/>
    <w:rsid w:val="00B432E8"/>
    <w:rsid w:val="00B61113"/>
    <w:rsid w:val="00B61C4B"/>
    <w:rsid w:val="00B635AB"/>
    <w:rsid w:val="00B72373"/>
    <w:rsid w:val="00B770B1"/>
    <w:rsid w:val="00B900E2"/>
    <w:rsid w:val="00B9118E"/>
    <w:rsid w:val="00BB037E"/>
    <w:rsid w:val="00BC1417"/>
    <w:rsid w:val="00BD6115"/>
    <w:rsid w:val="00BD684A"/>
    <w:rsid w:val="00BE306F"/>
    <w:rsid w:val="00BE4ED4"/>
    <w:rsid w:val="00C02642"/>
    <w:rsid w:val="00C166B6"/>
    <w:rsid w:val="00C250E7"/>
    <w:rsid w:val="00C27BEB"/>
    <w:rsid w:val="00C32DAE"/>
    <w:rsid w:val="00C33A60"/>
    <w:rsid w:val="00C40228"/>
    <w:rsid w:val="00C40E24"/>
    <w:rsid w:val="00C61B80"/>
    <w:rsid w:val="00C92299"/>
    <w:rsid w:val="00C92D9A"/>
    <w:rsid w:val="00C96EF5"/>
    <w:rsid w:val="00CB0187"/>
    <w:rsid w:val="00CC02E2"/>
    <w:rsid w:val="00CD189C"/>
    <w:rsid w:val="00CE030C"/>
    <w:rsid w:val="00D25064"/>
    <w:rsid w:val="00D32B51"/>
    <w:rsid w:val="00D34386"/>
    <w:rsid w:val="00D34668"/>
    <w:rsid w:val="00D3740E"/>
    <w:rsid w:val="00D40335"/>
    <w:rsid w:val="00D54138"/>
    <w:rsid w:val="00D55E3E"/>
    <w:rsid w:val="00D560AF"/>
    <w:rsid w:val="00D72D2A"/>
    <w:rsid w:val="00D82F57"/>
    <w:rsid w:val="00D841A5"/>
    <w:rsid w:val="00D914D2"/>
    <w:rsid w:val="00DA25DB"/>
    <w:rsid w:val="00DB0791"/>
    <w:rsid w:val="00DD4251"/>
    <w:rsid w:val="00DD7DF6"/>
    <w:rsid w:val="00DE4517"/>
    <w:rsid w:val="00E01B5F"/>
    <w:rsid w:val="00E02B50"/>
    <w:rsid w:val="00E03F11"/>
    <w:rsid w:val="00E04AE3"/>
    <w:rsid w:val="00E06DC8"/>
    <w:rsid w:val="00E220B5"/>
    <w:rsid w:val="00E33D93"/>
    <w:rsid w:val="00E57C09"/>
    <w:rsid w:val="00E609EF"/>
    <w:rsid w:val="00E8515B"/>
    <w:rsid w:val="00E90AFF"/>
    <w:rsid w:val="00EA0BAD"/>
    <w:rsid w:val="00EA1033"/>
    <w:rsid w:val="00EC673B"/>
    <w:rsid w:val="00EE643A"/>
    <w:rsid w:val="00EF2847"/>
    <w:rsid w:val="00EF2F91"/>
    <w:rsid w:val="00F04ED7"/>
    <w:rsid w:val="00F16D30"/>
    <w:rsid w:val="00F32E85"/>
    <w:rsid w:val="00F33EE3"/>
    <w:rsid w:val="00F4213B"/>
    <w:rsid w:val="00F42DE6"/>
    <w:rsid w:val="00F806B8"/>
    <w:rsid w:val="00F8268D"/>
    <w:rsid w:val="00F849ED"/>
    <w:rsid w:val="00F8650F"/>
    <w:rsid w:val="00F8698D"/>
    <w:rsid w:val="00F92398"/>
    <w:rsid w:val="00FA594E"/>
    <w:rsid w:val="00FD03FF"/>
    <w:rsid w:val="00FD31A0"/>
    <w:rsid w:val="00FE48FE"/>
    <w:rsid w:val="00FF6AAD"/>
    <w:rsid w:val="00FF71E5"/>
    <w:rsid w:val="00FF7910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StyleListParagraphBold">
    <w:name w:val="Style List Paragraph + Bold"/>
    <w:basedOn w:val="ListParagraph"/>
    <w:rsid w:val="00CC02E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6" ma:contentTypeDescription="Create a new document." ma:contentTypeScope="" ma:versionID="54dead1c044bf3cf1426d7343f24824f">
  <xsd:schema xmlns:xsd="http://www.w3.org/2001/XMLSchema" xmlns:xs="http://www.w3.org/2001/XMLSchema" xmlns:p="http://schemas.microsoft.com/office/2006/metadata/properties" xmlns:ns2="48fdd5af-7127-4349-9ef8-8ec3aedfe79a" xmlns:ns3="d7bf0660-0b03-4216-b364-8c8e0fe76916" targetNamespace="http://schemas.microsoft.com/office/2006/metadata/properties" ma:root="true" ma:fieldsID="a56b99441329c4257e681e6456b5fefe" ns2:_="" ns3:_="">
    <xsd:import namespace="48fdd5af-7127-4349-9ef8-8ec3aedfe79a"/>
    <xsd:import namespace="d7bf0660-0b03-4216-b364-8c8e0fe76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0660-0b03-4216-b364-8c8e0fe7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6AA85-BB2F-4C20-ADD5-0C11B3CD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d7bf0660-0b03-4216-b364-8c8e0fe76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FE060-111E-4D12-B456-B043408F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2794</Characters>
  <Application>Microsoft Office Word</Application>
  <DocSecurity>0</DocSecurity>
  <Lines>23</Lines>
  <Paragraphs>6</Paragraphs>
  <ScaleCrop>false</ScaleCrop>
  <Company>Harrow Council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3</cp:revision>
  <cp:lastPrinted>2007-07-12T09:53:00Z</cp:lastPrinted>
  <dcterms:created xsi:type="dcterms:W3CDTF">2023-05-17T14:36:00Z</dcterms:created>
  <dcterms:modified xsi:type="dcterms:W3CDTF">2023-05-17T14:40:00Z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